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E4" w:rsidRPr="00F40E78" w:rsidRDefault="00E462E4" w:rsidP="00E462E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smartTag w:uri="urn:schemas-microsoft-com:office:smarttags" w:element="City">
        <w:smartTag w:uri="urn:schemas-microsoft-com:office:smarttags" w:element="place">
          <w:r w:rsidRPr="00F40E78">
            <w:rPr>
              <w:rFonts w:ascii="Arial" w:hAnsi="Arial" w:cs="Arial"/>
              <w:b/>
              <w:sz w:val="22"/>
              <w:szCs w:val="22"/>
            </w:rPr>
            <w:t>Manchester</w:t>
          </w:r>
        </w:smartTag>
      </w:smartTag>
      <w:r w:rsidRPr="00F40E78">
        <w:rPr>
          <w:rFonts w:ascii="Arial" w:hAnsi="Arial" w:cs="Arial"/>
          <w:b/>
          <w:sz w:val="22"/>
          <w:szCs w:val="22"/>
        </w:rPr>
        <w:t xml:space="preserve"> City Council </w:t>
      </w:r>
      <w:r w:rsidRPr="00F40E78">
        <w:rPr>
          <w:rFonts w:ascii="Arial" w:hAnsi="Arial" w:cs="Arial"/>
          <w:b/>
          <w:sz w:val="22"/>
          <w:szCs w:val="22"/>
        </w:rPr>
        <w:tab/>
      </w:r>
      <w:r w:rsidRPr="00F40E78">
        <w:rPr>
          <w:rFonts w:ascii="Arial" w:hAnsi="Arial" w:cs="Arial"/>
          <w:b/>
          <w:sz w:val="22"/>
          <w:szCs w:val="22"/>
        </w:rPr>
        <w:tab/>
      </w:r>
      <w:r w:rsidRPr="00F40E78">
        <w:rPr>
          <w:rFonts w:ascii="Arial" w:hAnsi="Arial" w:cs="Arial"/>
          <w:b/>
          <w:sz w:val="22"/>
          <w:szCs w:val="22"/>
        </w:rPr>
        <w:tab/>
      </w:r>
      <w:r w:rsidRPr="00F40E78">
        <w:rPr>
          <w:rFonts w:ascii="Arial" w:hAnsi="Arial" w:cs="Arial"/>
          <w:b/>
          <w:sz w:val="22"/>
          <w:szCs w:val="22"/>
        </w:rPr>
        <w:tab/>
      </w:r>
      <w:r w:rsidRPr="00F40E78">
        <w:rPr>
          <w:rFonts w:ascii="Arial" w:hAnsi="Arial" w:cs="Arial"/>
          <w:b/>
          <w:sz w:val="22"/>
          <w:szCs w:val="22"/>
        </w:rPr>
        <w:tab/>
      </w:r>
      <w:r w:rsidRPr="00F40E78">
        <w:rPr>
          <w:rFonts w:ascii="Arial" w:hAnsi="Arial" w:cs="Arial"/>
          <w:b/>
          <w:sz w:val="22"/>
          <w:szCs w:val="22"/>
        </w:rPr>
        <w:tab/>
      </w:r>
      <w:r w:rsidRPr="00F40E78">
        <w:rPr>
          <w:rFonts w:ascii="Arial" w:hAnsi="Arial" w:cs="Arial"/>
          <w:b/>
          <w:sz w:val="22"/>
          <w:szCs w:val="22"/>
        </w:rPr>
        <w:tab/>
      </w:r>
      <w:r w:rsidRPr="00F40E78">
        <w:rPr>
          <w:rFonts w:ascii="Arial" w:hAnsi="Arial" w:cs="Arial"/>
          <w:b/>
          <w:sz w:val="22"/>
          <w:szCs w:val="22"/>
        </w:rPr>
        <w:tab/>
      </w:r>
      <w:r w:rsidRPr="00F40E78">
        <w:rPr>
          <w:rFonts w:ascii="Arial" w:hAnsi="Arial" w:cs="Arial"/>
          <w:b/>
          <w:sz w:val="22"/>
          <w:szCs w:val="22"/>
        </w:rPr>
        <w:tab/>
      </w:r>
      <w:r w:rsidRPr="00F40E78">
        <w:rPr>
          <w:rFonts w:ascii="Arial" w:hAnsi="Arial" w:cs="Arial"/>
          <w:b/>
          <w:sz w:val="22"/>
          <w:szCs w:val="22"/>
        </w:rPr>
        <w:tab/>
      </w:r>
    </w:p>
    <w:p w:rsidR="00F40E78" w:rsidRDefault="00E462E4" w:rsidP="00E462E4">
      <w:pPr>
        <w:rPr>
          <w:rFonts w:ascii="Arial" w:hAnsi="Arial" w:cs="Arial"/>
          <w:b/>
          <w:sz w:val="22"/>
          <w:szCs w:val="22"/>
        </w:rPr>
      </w:pPr>
      <w:r w:rsidRPr="00F40E78">
        <w:rPr>
          <w:rFonts w:ascii="Arial" w:hAnsi="Arial" w:cs="Arial"/>
          <w:b/>
          <w:sz w:val="22"/>
          <w:szCs w:val="22"/>
        </w:rPr>
        <w:t>So</w:t>
      </w:r>
      <w:r w:rsidR="00F40E78">
        <w:rPr>
          <w:rFonts w:ascii="Arial" w:hAnsi="Arial" w:cs="Arial"/>
          <w:b/>
          <w:sz w:val="22"/>
          <w:szCs w:val="22"/>
        </w:rPr>
        <w:t>cial Housing Asset Value</w:t>
      </w:r>
    </w:p>
    <w:p w:rsidR="00F40E78" w:rsidRDefault="00F40E78" w:rsidP="00E462E4">
      <w:pPr>
        <w:rPr>
          <w:rFonts w:ascii="Arial" w:hAnsi="Arial" w:cs="Arial"/>
          <w:b/>
          <w:sz w:val="22"/>
          <w:szCs w:val="22"/>
        </w:rPr>
      </w:pPr>
    </w:p>
    <w:p w:rsidR="00E462E4" w:rsidRPr="00F40E78" w:rsidRDefault="00F40E78" w:rsidP="00E462E4">
      <w:pPr>
        <w:rPr>
          <w:rFonts w:ascii="Arial" w:hAnsi="Arial" w:cs="Arial"/>
          <w:sz w:val="22"/>
          <w:szCs w:val="22"/>
        </w:rPr>
      </w:pP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  <w:r w:rsidR="00E462E4" w:rsidRPr="00F40E78">
        <w:rPr>
          <w:rFonts w:ascii="Arial" w:hAnsi="Arial" w:cs="Arial"/>
          <w:sz w:val="22"/>
          <w:szCs w:val="22"/>
        </w:rPr>
        <w:tab/>
      </w:r>
      <w:r w:rsidR="00E462E4" w:rsidRPr="00F40E78">
        <w:rPr>
          <w:rFonts w:ascii="Arial" w:hAnsi="Arial" w:cs="Arial"/>
          <w:sz w:val="22"/>
          <w:szCs w:val="22"/>
        </w:rPr>
        <w:tab/>
      </w:r>
    </w:p>
    <w:p w:rsidR="00F40E78" w:rsidRPr="00F40E78" w:rsidRDefault="00F40E78" w:rsidP="00E462E4">
      <w:pPr>
        <w:rPr>
          <w:rFonts w:ascii="Arial" w:hAnsi="Arial" w:cs="Arial"/>
          <w:sz w:val="22"/>
          <w:szCs w:val="22"/>
        </w:rPr>
      </w:pPr>
      <w:r w:rsidRPr="00F40E78">
        <w:rPr>
          <w:rFonts w:ascii="Arial" w:hAnsi="Arial" w:cs="Arial"/>
          <w:sz w:val="22"/>
          <w:szCs w:val="22"/>
        </w:rPr>
        <w:t xml:space="preserve">This data set is provided as specified in para. 38 of Local Government Transparency Code </w:t>
      </w:r>
      <w:r w:rsidR="0067338D" w:rsidRPr="00F40E78">
        <w:rPr>
          <w:rFonts w:ascii="Arial" w:hAnsi="Arial" w:cs="Arial"/>
          <w:sz w:val="22"/>
          <w:szCs w:val="22"/>
        </w:rPr>
        <w:t>February</w:t>
      </w:r>
      <w:r w:rsidRPr="00F40E78">
        <w:rPr>
          <w:rFonts w:ascii="Arial" w:hAnsi="Arial" w:cs="Arial"/>
          <w:sz w:val="22"/>
          <w:szCs w:val="22"/>
        </w:rPr>
        <w:t xml:space="preserve"> 2015</w:t>
      </w:r>
      <w:r w:rsidR="00E462E4" w:rsidRPr="00F40E78">
        <w:rPr>
          <w:rFonts w:ascii="Arial" w:hAnsi="Arial" w:cs="Arial"/>
          <w:sz w:val="22"/>
          <w:szCs w:val="22"/>
        </w:rPr>
        <w:tab/>
      </w:r>
      <w:r w:rsidR="00E462E4" w:rsidRPr="00F40E78">
        <w:rPr>
          <w:rFonts w:ascii="Arial" w:hAnsi="Arial" w:cs="Arial"/>
          <w:sz w:val="22"/>
          <w:szCs w:val="22"/>
        </w:rPr>
        <w:tab/>
      </w:r>
      <w:r w:rsidR="00E462E4" w:rsidRPr="00F40E78">
        <w:rPr>
          <w:rFonts w:ascii="Arial" w:hAnsi="Arial" w:cs="Arial"/>
          <w:sz w:val="22"/>
          <w:szCs w:val="22"/>
        </w:rPr>
        <w:tab/>
      </w:r>
      <w:r w:rsidR="00E462E4" w:rsidRPr="00F40E78">
        <w:rPr>
          <w:rFonts w:ascii="Arial" w:hAnsi="Arial" w:cs="Arial"/>
          <w:sz w:val="22"/>
          <w:szCs w:val="22"/>
        </w:rPr>
        <w:tab/>
      </w:r>
      <w:r w:rsidR="00E462E4" w:rsidRPr="00F40E78">
        <w:rPr>
          <w:rFonts w:ascii="Arial" w:hAnsi="Arial" w:cs="Arial"/>
          <w:sz w:val="22"/>
          <w:szCs w:val="22"/>
        </w:rPr>
        <w:tab/>
      </w:r>
      <w:r w:rsidR="00E462E4" w:rsidRPr="00F40E78">
        <w:rPr>
          <w:rFonts w:ascii="Arial" w:hAnsi="Arial" w:cs="Arial"/>
          <w:sz w:val="22"/>
          <w:szCs w:val="22"/>
        </w:rPr>
        <w:tab/>
      </w:r>
      <w:r w:rsidR="00E462E4" w:rsidRPr="00F40E78">
        <w:rPr>
          <w:rFonts w:ascii="Arial" w:hAnsi="Arial" w:cs="Arial"/>
          <w:sz w:val="22"/>
          <w:szCs w:val="22"/>
        </w:rPr>
        <w:tab/>
      </w:r>
      <w:r w:rsidR="00E462E4" w:rsidRPr="00F40E78">
        <w:rPr>
          <w:rFonts w:ascii="Arial" w:hAnsi="Arial" w:cs="Arial"/>
          <w:sz w:val="22"/>
          <w:szCs w:val="22"/>
        </w:rPr>
        <w:tab/>
      </w:r>
    </w:p>
    <w:p w:rsidR="00F40E78" w:rsidRPr="00F40E78" w:rsidRDefault="00F40E78" w:rsidP="00E462E4">
      <w:pPr>
        <w:rPr>
          <w:rFonts w:ascii="Arial" w:hAnsi="Arial" w:cs="Arial"/>
          <w:sz w:val="22"/>
          <w:szCs w:val="22"/>
        </w:rPr>
      </w:pPr>
      <w:r w:rsidRPr="00F40E78">
        <w:rPr>
          <w:rFonts w:ascii="Arial" w:hAnsi="Arial" w:cs="Arial"/>
          <w:sz w:val="22"/>
          <w:szCs w:val="22"/>
        </w:rPr>
        <w:t>https://www.gov.uk/government/publications/local-government-transparency-code-2015</w:t>
      </w:r>
    </w:p>
    <w:p w:rsidR="00E462E4" w:rsidRPr="00F40E78" w:rsidRDefault="00E462E4" w:rsidP="00E462E4">
      <w:pPr>
        <w:rPr>
          <w:rFonts w:ascii="Arial" w:hAnsi="Arial" w:cs="Arial"/>
          <w:sz w:val="22"/>
          <w:szCs w:val="22"/>
        </w:rPr>
      </w:pP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</w:p>
    <w:p w:rsidR="00F40E78" w:rsidRPr="00F40E78" w:rsidRDefault="00F40E78" w:rsidP="00E462E4">
      <w:pPr>
        <w:rPr>
          <w:rFonts w:ascii="Arial" w:hAnsi="Arial" w:cs="Arial"/>
          <w:sz w:val="22"/>
          <w:szCs w:val="22"/>
        </w:rPr>
      </w:pPr>
      <w:r w:rsidRPr="00F40E78">
        <w:rPr>
          <w:rFonts w:ascii="Arial" w:hAnsi="Arial" w:cs="Arial"/>
          <w:sz w:val="22"/>
          <w:szCs w:val="22"/>
        </w:rPr>
        <w:t>This</w:t>
      </w:r>
      <w:r w:rsidR="00E462E4" w:rsidRPr="00F40E78">
        <w:rPr>
          <w:rFonts w:ascii="Arial" w:hAnsi="Arial" w:cs="Arial"/>
          <w:sz w:val="22"/>
          <w:szCs w:val="22"/>
        </w:rPr>
        <w:t xml:space="preserve"> data provides information relating to the market value of social housing assets with</w:t>
      </w:r>
      <w:r w:rsidRPr="00F40E78">
        <w:rPr>
          <w:rFonts w:ascii="Arial" w:hAnsi="Arial" w:cs="Arial"/>
          <w:sz w:val="22"/>
          <w:szCs w:val="22"/>
        </w:rPr>
        <w:t>in the Housing Revenue Account.</w:t>
      </w:r>
    </w:p>
    <w:p w:rsidR="00E462E4" w:rsidRPr="00F40E78" w:rsidRDefault="00E462E4" w:rsidP="00E462E4">
      <w:pPr>
        <w:rPr>
          <w:rFonts w:ascii="Arial" w:hAnsi="Arial" w:cs="Arial"/>
          <w:sz w:val="22"/>
          <w:szCs w:val="22"/>
        </w:rPr>
      </w:pP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</w:p>
    <w:p w:rsidR="00E462E4" w:rsidRPr="00F40E78" w:rsidRDefault="00E462E4" w:rsidP="00E462E4">
      <w:pPr>
        <w:rPr>
          <w:rFonts w:ascii="Arial" w:hAnsi="Arial" w:cs="Arial"/>
          <w:sz w:val="22"/>
          <w:szCs w:val="22"/>
        </w:rPr>
      </w:pPr>
      <w:r w:rsidRPr="00F40E78">
        <w:rPr>
          <w:rFonts w:ascii="Arial" w:hAnsi="Arial" w:cs="Arial"/>
          <w:sz w:val="22"/>
          <w:szCs w:val="22"/>
        </w:rPr>
        <w:t xml:space="preserve">These valuations may be significantly different from the tenanted sale value of dwellings when sold under the Right </w:t>
      </w:r>
      <w:proofErr w:type="gramStart"/>
      <w:r w:rsidRPr="00F40E78">
        <w:rPr>
          <w:rFonts w:ascii="Arial" w:hAnsi="Arial" w:cs="Arial"/>
          <w:sz w:val="22"/>
          <w:szCs w:val="22"/>
        </w:rPr>
        <w:t>To</w:t>
      </w:r>
      <w:proofErr w:type="gramEnd"/>
      <w:r w:rsidRPr="00F40E78">
        <w:rPr>
          <w:rFonts w:ascii="Arial" w:hAnsi="Arial" w:cs="Arial"/>
          <w:sz w:val="22"/>
          <w:szCs w:val="22"/>
        </w:rPr>
        <w:t xml:space="preserve"> Buy where </w:t>
      </w:r>
      <w:r w:rsidR="00F40E78" w:rsidRPr="00F40E78">
        <w:rPr>
          <w:rFonts w:ascii="Arial" w:hAnsi="Arial" w:cs="Arial"/>
          <w:sz w:val="22"/>
          <w:szCs w:val="22"/>
        </w:rPr>
        <w:t xml:space="preserve">a discount will be applicable. </w:t>
      </w: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</w:p>
    <w:p w:rsidR="00F40E78" w:rsidRDefault="00E462E4" w:rsidP="00E462E4">
      <w:pPr>
        <w:rPr>
          <w:rFonts w:ascii="Arial" w:hAnsi="Arial" w:cs="Arial"/>
          <w:sz w:val="22"/>
          <w:szCs w:val="22"/>
        </w:rPr>
      </w:pPr>
      <w:r w:rsidRPr="00F40E78">
        <w:rPr>
          <w:rFonts w:ascii="Arial" w:hAnsi="Arial" w:cs="Arial"/>
          <w:sz w:val="22"/>
          <w:szCs w:val="22"/>
        </w:rPr>
        <w:t>There are two different values for our housing provided under the Transparency code, EUV-SH and market value. EUV-SH stands for 'existing use value - social housing' and is the lower of the two.</w:t>
      </w:r>
      <w:r w:rsidRPr="00F40E78">
        <w:rPr>
          <w:rFonts w:ascii="Arial" w:hAnsi="Arial" w:cs="Arial"/>
          <w:sz w:val="22"/>
          <w:szCs w:val="22"/>
        </w:rPr>
        <w:tab/>
      </w:r>
      <w:r w:rsidR="00F40E78" w:rsidRPr="00F40E78">
        <w:rPr>
          <w:rFonts w:ascii="Arial" w:hAnsi="Arial" w:cs="Arial"/>
          <w:sz w:val="22"/>
          <w:szCs w:val="22"/>
        </w:rPr>
        <w:t xml:space="preserve">This valuation is set at a rate of 35% of the market value. This has been determined by the Department of Communities and Local Government to represent the value of the properties while tenanted as social housing. </w:t>
      </w:r>
      <w:r w:rsidR="00F40E78" w:rsidRPr="00F40E78">
        <w:rPr>
          <w:rFonts w:ascii="Arial" w:hAnsi="Arial" w:cs="Arial"/>
          <w:sz w:val="22"/>
          <w:szCs w:val="22"/>
        </w:rPr>
        <w:tab/>
      </w:r>
    </w:p>
    <w:p w:rsidR="00E462E4" w:rsidRPr="00F40E78" w:rsidRDefault="00E462E4" w:rsidP="00E462E4">
      <w:pPr>
        <w:rPr>
          <w:rFonts w:ascii="Arial" w:hAnsi="Arial" w:cs="Arial"/>
          <w:sz w:val="22"/>
          <w:szCs w:val="22"/>
        </w:rPr>
      </w:pP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</w:p>
    <w:p w:rsidR="00F40E78" w:rsidRDefault="00E462E4" w:rsidP="00E462E4">
      <w:pPr>
        <w:rPr>
          <w:rFonts w:ascii="Arial" w:hAnsi="Arial" w:cs="Arial"/>
          <w:sz w:val="22"/>
          <w:szCs w:val="22"/>
        </w:rPr>
      </w:pPr>
      <w:r w:rsidRPr="00F40E78">
        <w:rPr>
          <w:rFonts w:ascii="Arial" w:hAnsi="Arial" w:cs="Arial"/>
          <w:sz w:val="22"/>
          <w:szCs w:val="22"/>
        </w:rPr>
        <w:t xml:space="preserve">The </w:t>
      </w:r>
      <w:r w:rsidR="00F40E78" w:rsidRPr="00F40E78">
        <w:rPr>
          <w:rFonts w:ascii="Arial" w:hAnsi="Arial" w:cs="Arial"/>
          <w:sz w:val="22"/>
          <w:szCs w:val="22"/>
        </w:rPr>
        <w:t xml:space="preserve">market </w:t>
      </w:r>
      <w:r w:rsidRPr="00F40E78">
        <w:rPr>
          <w:rFonts w:ascii="Arial" w:hAnsi="Arial" w:cs="Arial"/>
          <w:sz w:val="22"/>
          <w:szCs w:val="22"/>
        </w:rPr>
        <w:t xml:space="preserve">value of each property has been used to determine valuation band it is included in, the </w:t>
      </w:r>
      <w:r w:rsidR="00F40E78" w:rsidRPr="00F40E78">
        <w:rPr>
          <w:rFonts w:ascii="Arial" w:hAnsi="Arial" w:cs="Arial"/>
          <w:sz w:val="22"/>
          <w:szCs w:val="22"/>
        </w:rPr>
        <w:t xml:space="preserve">average and total EUV-SH </w:t>
      </w:r>
      <w:r w:rsidRPr="00F40E78">
        <w:rPr>
          <w:rFonts w:ascii="Arial" w:hAnsi="Arial" w:cs="Arial"/>
          <w:sz w:val="22"/>
          <w:szCs w:val="22"/>
        </w:rPr>
        <w:t>value is also given for information.</w:t>
      </w:r>
      <w:r w:rsidR="00F40E78">
        <w:rPr>
          <w:rFonts w:ascii="Arial" w:hAnsi="Arial" w:cs="Arial"/>
          <w:sz w:val="22"/>
          <w:szCs w:val="22"/>
        </w:rPr>
        <w:t xml:space="preserve"> It should be noted that some local authorities have used the EUV-SH to determine the valuation bands used and care should be taken when aggregating data sets from </w:t>
      </w:r>
      <w:proofErr w:type="gramStart"/>
      <w:r w:rsidR="00F40E78">
        <w:rPr>
          <w:rFonts w:ascii="Arial" w:hAnsi="Arial" w:cs="Arial"/>
          <w:sz w:val="22"/>
          <w:szCs w:val="22"/>
        </w:rPr>
        <w:t>other</w:t>
      </w:r>
      <w:proofErr w:type="gramEnd"/>
      <w:r w:rsidR="00F40E78">
        <w:rPr>
          <w:rFonts w:ascii="Arial" w:hAnsi="Arial" w:cs="Arial"/>
          <w:sz w:val="22"/>
          <w:szCs w:val="22"/>
        </w:rPr>
        <w:t xml:space="preserve"> local authorities. </w:t>
      </w:r>
    </w:p>
    <w:p w:rsidR="00E462E4" w:rsidRPr="00F40E78" w:rsidRDefault="00E462E4" w:rsidP="00E462E4">
      <w:pPr>
        <w:rPr>
          <w:rFonts w:ascii="Arial" w:hAnsi="Arial" w:cs="Arial"/>
          <w:sz w:val="22"/>
          <w:szCs w:val="22"/>
        </w:rPr>
      </w:pP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  <w:r w:rsidRPr="00F40E78">
        <w:rPr>
          <w:rFonts w:ascii="Arial" w:hAnsi="Arial" w:cs="Arial"/>
          <w:sz w:val="22"/>
          <w:szCs w:val="22"/>
        </w:rPr>
        <w:tab/>
      </w:r>
    </w:p>
    <w:p w:rsidR="00CD0D61" w:rsidRDefault="00E462E4" w:rsidP="00E462E4">
      <w:pPr>
        <w:rPr>
          <w:rFonts w:ascii="Arial" w:hAnsi="Arial" w:cs="Arial"/>
          <w:sz w:val="22"/>
          <w:szCs w:val="22"/>
        </w:rPr>
      </w:pPr>
      <w:r w:rsidRPr="00F40E78">
        <w:rPr>
          <w:rFonts w:ascii="Arial" w:hAnsi="Arial" w:cs="Arial"/>
          <w:sz w:val="22"/>
          <w:szCs w:val="22"/>
        </w:rPr>
        <w:t xml:space="preserve">Both valuations are given in the interests of a complete understanding of the value of the council's property portfolio and </w:t>
      </w:r>
      <w:proofErr w:type="gramStart"/>
      <w:r w:rsidRPr="00F40E78">
        <w:rPr>
          <w:rFonts w:ascii="Arial" w:hAnsi="Arial" w:cs="Arial"/>
          <w:sz w:val="22"/>
          <w:szCs w:val="22"/>
        </w:rPr>
        <w:t>is</w:t>
      </w:r>
      <w:proofErr w:type="gramEnd"/>
      <w:r w:rsidRPr="00F40E78">
        <w:rPr>
          <w:rFonts w:ascii="Arial" w:hAnsi="Arial" w:cs="Arial"/>
          <w:sz w:val="22"/>
          <w:szCs w:val="22"/>
        </w:rPr>
        <w:t xml:space="preserve"> not intended to in any way suggest that tenancies should end in order to realise the full market value.</w:t>
      </w:r>
      <w:r w:rsidRPr="00F40E78">
        <w:rPr>
          <w:rFonts w:ascii="Arial" w:hAnsi="Arial" w:cs="Arial"/>
          <w:sz w:val="22"/>
          <w:szCs w:val="22"/>
        </w:rPr>
        <w:tab/>
      </w:r>
    </w:p>
    <w:p w:rsidR="00B135A8" w:rsidRDefault="00B135A8" w:rsidP="00E462E4">
      <w:pPr>
        <w:rPr>
          <w:rFonts w:ascii="Arial" w:hAnsi="Arial" w:cs="Arial"/>
          <w:sz w:val="22"/>
          <w:szCs w:val="22"/>
        </w:rPr>
      </w:pPr>
    </w:p>
    <w:p w:rsidR="00B135A8" w:rsidRDefault="00B135A8" w:rsidP="00E462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data set reflects the sto</w:t>
      </w:r>
      <w:r w:rsidR="00455F52">
        <w:rPr>
          <w:rFonts w:ascii="Arial" w:hAnsi="Arial" w:cs="Arial"/>
          <w:sz w:val="22"/>
          <w:szCs w:val="22"/>
        </w:rPr>
        <w:t>ck position of dwellings within</w:t>
      </w:r>
      <w:r>
        <w:rPr>
          <w:rFonts w:ascii="Arial" w:hAnsi="Arial" w:cs="Arial"/>
          <w:sz w:val="22"/>
          <w:szCs w:val="22"/>
        </w:rPr>
        <w:t xml:space="preserve"> the Housing Revenue Account as at 1/4/2015 excluding hostels and multi-occupancy houses designated as homeless temporary accommodation. </w:t>
      </w:r>
    </w:p>
    <w:p w:rsidR="00B135A8" w:rsidRDefault="00B135A8" w:rsidP="00E462E4">
      <w:pPr>
        <w:rPr>
          <w:rFonts w:ascii="Arial" w:hAnsi="Arial" w:cs="Arial"/>
          <w:sz w:val="22"/>
          <w:szCs w:val="22"/>
        </w:rPr>
      </w:pPr>
    </w:p>
    <w:p w:rsidR="00B135A8" w:rsidRDefault="00B135A8" w:rsidP="00E462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valuation basis was determined as at 1/4/2014</w:t>
      </w:r>
    </w:p>
    <w:p w:rsidR="00B135A8" w:rsidRDefault="00B135A8" w:rsidP="00E462E4">
      <w:pPr>
        <w:rPr>
          <w:rFonts w:ascii="Arial" w:hAnsi="Arial" w:cs="Arial"/>
          <w:sz w:val="22"/>
          <w:szCs w:val="22"/>
        </w:rPr>
      </w:pPr>
    </w:p>
    <w:p w:rsidR="00B135A8" w:rsidRDefault="00B135A8" w:rsidP="00E462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file is provided in CSV and XLS (Excel) format with the following field headings: </w:t>
      </w:r>
    </w:p>
    <w:p w:rsidR="00B135A8" w:rsidRDefault="00B135A8" w:rsidP="00E462E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568" w:type="dxa"/>
        <w:tblLook w:val="01E0" w:firstRow="1" w:lastRow="1" w:firstColumn="1" w:lastColumn="1" w:noHBand="0" w:noVBand="0"/>
      </w:tblPr>
      <w:tblGrid>
        <w:gridCol w:w="2840"/>
        <w:gridCol w:w="5728"/>
      </w:tblGrid>
      <w:tr w:rsidR="00B135A8" w:rsidTr="00B135A8">
        <w:tc>
          <w:tcPr>
            <w:tcW w:w="2840" w:type="dxa"/>
          </w:tcPr>
          <w:p w:rsidR="00B135A8" w:rsidRDefault="00B135A8" w:rsidP="00E4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5728" w:type="dxa"/>
          </w:tcPr>
          <w:p w:rsidR="00B135A8" w:rsidRDefault="00B135A8" w:rsidP="00E4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 Code Sector – in some cases this is aggregated up to Post Code District in accordance with the Data Protection guidelines with the Transparency code where the number of households in a sector is below 2,500. This is to mitigate the possibility of disclosing data on individual properties. </w:t>
            </w:r>
          </w:p>
        </w:tc>
      </w:tr>
      <w:tr w:rsidR="00B135A8" w:rsidTr="00B135A8">
        <w:tc>
          <w:tcPr>
            <w:tcW w:w="2840" w:type="dxa"/>
          </w:tcPr>
          <w:p w:rsidR="00B135A8" w:rsidRDefault="00B135A8" w:rsidP="00E4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ValuationBand</w:t>
            </w:r>
          </w:p>
        </w:tc>
        <w:tc>
          <w:tcPr>
            <w:tcW w:w="5728" w:type="dxa"/>
          </w:tcPr>
          <w:p w:rsidR="00B135A8" w:rsidRDefault="00B135A8" w:rsidP="00E4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main valuation band range – based on the market value of the dwelling</w:t>
            </w:r>
            <w:r w:rsidR="00455F52">
              <w:rPr>
                <w:rFonts w:ascii="Arial" w:hAnsi="Arial" w:cs="Arial"/>
                <w:sz w:val="22"/>
                <w:szCs w:val="22"/>
              </w:rPr>
              <w:t xml:space="preserve"> at (all valuations provided are as at 1/4/2014)</w:t>
            </w:r>
          </w:p>
        </w:tc>
      </w:tr>
      <w:tr w:rsidR="00B135A8" w:rsidTr="00B135A8">
        <w:tc>
          <w:tcPr>
            <w:tcW w:w="2840" w:type="dxa"/>
          </w:tcPr>
          <w:p w:rsidR="00B135A8" w:rsidRDefault="00B135A8" w:rsidP="00E4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InterveningBand</w:t>
            </w:r>
          </w:p>
        </w:tc>
        <w:tc>
          <w:tcPr>
            <w:tcW w:w="5728" w:type="dxa"/>
          </w:tcPr>
          <w:p w:rsidR="00B135A8" w:rsidRDefault="00B135A8" w:rsidP="00E4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Lower level valuation band range – where necessary these have been merged to avoid disclosure where the number of dwellings in an intervening band is less than 10</w:t>
            </w:r>
          </w:p>
        </w:tc>
      </w:tr>
      <w:tr w:rsidR="00B135A8" w:rsidTr="00B135A8">
        <w:tc>
          <w:tcPr>
            <w:tcW w:w="2840" w:type="dxa"/>
          </w:tcPr>
          <w:p w:rsidR="00B135A8" w:rsidRDefault="00B135A8" w:rsidP="00E4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MergedBand</w:t>
            </w:r>
          </w:p>
        </w:tc>
        <w:tc>
          <w:tcPr>
            <w:tcW w:w="5728" w:type="dxa"/>
          </w:tcPr>
          <w:p w:rsidR="00B135A8" w:rsidRDefault="00B135A8" w:rsidP="00E4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flag to indicate where Intervening Bands have been merged as specified above where 1= true and 0 =false</w:t>
            </w:r>
          </w:p>
        </w:tc>
      </w:tr>
      <w:tr w:rsidR="00B135A8" w:rsidTr="00B135A8">
        <w:tc>
          <w:tcPr>
            <w:tcW w:w="2840" w:type="dxa"/>
          </w:tcPr>
          <w:p w:rsidR="00B135A8" w:rsidRDefault="00B135A8" w:rsidP="00E4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TotalDwellings</w:t>
            </w:r>
          </w:p>
        </w:tc>
        <w:tc>
          <w:tcPr>
            <w:tcW w:w="5728" w:type="dxa"/>
          </w:tcPr>
          <w:p w:rsidR="00B135A8" w:rsidRDefault="00B135A8" w:rsidP="00E4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HRA dwellings within the valuation band and post code</w:t>
            </w:r>
            <w:r w:rsidR="00455F52">
              <w:rPr>
                <w:rFonts w:ascii="Arial" w:hAnsi="Arial" w:cs="Arial"/>
                <w:sz w:val="22"/>
                <w:szCs w:val="22"/>
              </w:rPr>
              <w:t xml:space="preserve"> as at 1/4/2015</w:t>
            </w:r>
          </w:p>
        </w:tc>
      </w:tr>
      <w:tr w:rsidR="00B135A8" w:rsidTr="00B135A8">
        <w:tc>
          <w:tcPr>
            <w:tcW w:w="2840" w:type="dxa"/>
          </w:tcPr>
          <w:p w:rsidR="00B135A8" w:rsidRDefault="00B135A8" w:rsidP="00E4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EUVSH_Total</w:t>
            </w:r>
          </w:p>
        </w:tc>
        <w:tc>
          <w:tcPr>
            <w:tcW w:w="5728" w:type="dxa"/>
          </w:tcPr>
          <w:p w:rsidR="00B135A8" w:rsidRDefault="00B135A8" w:rsidP="00E4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total value of dwellings within the band as at the Existing Use Value-Social Housing</w:t>
            </w:r>
          </w:p>
        </w:tc>
      </w:tr>
      <w:tr w:rsidR="00B135A8" w:rsidTr="00B135A8">
        <w:tc>
          <w:tcPr>
            <w:tcW w:w="2840" w:type="dxa"/>
          </w:tcPr>
          <w:p w:rsidR="00B135A8" w:rsidRDefault="00B135A8" w:rsidP="00E4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EUVSH_Avg</w:t>
            </w:r>
          </w:p>
        </w:tc>
        <w:tc>
          <w:tcPr>
            <w:tcW w:w="5728" w:type="dxa"/>
          </w:tcPr>
          <w:p w:rsidR="00B135A8" w:rsidRDefault="00B135A8" w:rsidP="00E4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average value of dwellings </w:t>
            </w:r>
            <w:r w:rsidR="00572855">
              <w:rPr>
                <w:rFonts w:ascii="Arial" w:hAnsi="Arial" w:cs="Arial"/>
                <w:sz w:val="22"/>
                <w:szCs w:val="22"/>
              </w:rPr>
              <w:t>in each band</w:t>
            </w:r>
          </w:p>
        </w:tc>
      </w:tr>
      <w:tr w:rsidR="00B135A8" w:rsidTr="00B135A8">
        <w:tc>
          <w:tcPr>
            <w:tcW w:w="2840" w:type="dxa"/>
          </w:tcPr>
          <w:p w:rsidR="00B135A8" w:rsidRPr="00B135A8" w:rsidRDefault="00B135A8" w:rsidP="00E462E4">
            <w:pPr>
              <w:rPr>
                <w:rFonts w:ascii="Arial" w:hAnsi="Arial" w:cs="Arial"/>
                <w:sz w:val="22"/>
                <w:szCs w:val="22"/>
              </w:rPr>
            </w:pPr>
            <w:r w:rsidRPr="00B135A8">
              <w:rPr>
                <w:rFonts w:ascii="Arial" w:hAnsi="Arial" w:cs="Arial"/>
                <w:sz w:val="22"/>
                <w:szCs w:val="22"/>
              </w:rPr>
              <w:t>MarketVal_Total</w:t>
            </w:r>
          </w:p>
        </w:tc>
        <w:tc>
          <w:tcPr>
            <w:tcW w:w="5728" w:type="dxa"/>
          </w:tcPr>
          <w:p w:rsidR="00B135A8" w:rsidRDefault="00B135A8" w:rsidP="00E4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total Market value of dwellings </w:t>
            </w:r>
            <w:r w:rsidR="00572855">
              <w:rPr>
                <w:rFonts w:ascii="Arial" w:hAnsi="Arial" w:cs="Arial"/>
                <w:sz w:val="22"/>
                <w:szCs w:val="22"/>
              </w:rPr>
              <w:t>in each band</w:t>
            </w:r>
          </w:p>
        </w:tc>
      </w:tr>
      <w:tr w:rsidR="00B135A8" w:rsidTr="00B135A8">
        <w:tc>
          <w:tcPr>
            <w:tcW w:w="2840" w:type="dxa"/>
          </w:tcPr>
          <w:p w:rsidR="00B135A8" w:rsidRPr="00B135A8" w:rsidRDefault="00455F52" w:rsidP="00E4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OccupiedPerecent</w:t>
            </w:r>
          </w:p>
        </w:tc>
        <w:tc>
          <w:tcPr>
            <w:tcW w:w="5728" w:type="dxa"/>
          </w:tcPr>
          <w:p w:rsidR="00B135A8" w:rsidRDefault="00455F52" w:rsidP="00E4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percentage of dwellings in each band which are occupied at 1/4/2015</w:t>
            </w:r>
          </w:p>
        </w:tc>
      </w:tr>
      <w:tr w:rsidR="00455F52" w:rsidTr="00B135A8">
        <w:tc>
          <w:tcPr>
            <w:tcW w:w="2840" w:type="dxa"/>
          </w:tcPr>
          <w:p w:rsidR="00455F52" w:rsidRDefault="00455F52" w:rsidP="00E4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VacantPercent</w:t>
            </w:r>
          </w:p>
        </w:tc>
        <w:tc>
          <w:tcPr>
            <w:tcW w:w="5728" w:type="dxa"/>
          </w:tcPr>
          <w:p w:rsidR="00455F52" w:rsidRDefault="00455F52" w:rsidP="00E4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percentage of dwellings in each band which are vacant at 1/4/2015</w:t>
            </w:r>
          </w:p>
        </w:tc>
      </w:tr>
    </w:tbl>
    <w:p w:rsidR="00B135A8" w:rsidRPr="00F40E78" w:rsidRDefault="00B135A8" w:rsidP="00E462E4">
      <w:pPr>
        <w:rPr>
          <w:rFonts w:ascii="Arial" w:hAnsi="Arial" w:cs="Arial"/>
          <w:sz w:val="22"/>
          <w:szCs w:val="22"/>
        </w:rPr>
      </w:pPr>
    </w:p>
    <w:sectPr w:rsidR="00B135A8" w:rsidRPr="00F40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E4"/>
    <w:rsid w:val="000C2F39"/>
    <w:rsid w:val="00455F52"/>
    <w:rsid w:val="00572855"/>
    <w:rsid w:val="0067338D"/>
    <w:rsid w:val="006D1FEE"/>
    <w:rsid w:val="00895F22"/>
    <w:rsid w:val="00B135A8"/>
    <w:rsid w:val="00CD0D61"/>
    <w:rsid w:val="00E462E4"/>
    <w:rsid w:val="00F4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13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13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City Council </vt:lpstr>
    </vt:vector>
  </TitlesOfParts>
  <Company>Manchester City Council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City Council</dc:title>
  <dc:creator>robinsonti</dc:creator>
  <cp:lastModifiedBy>Administrator</cp:lastModifiedBy>
  <cp:revision>2</cp:revision>
  <dcterms:created xsi:type="dcterms:W3CDTF">2015-09-07T09:57:00Z</dcterms:created>
  <dcterms:modified xsi:type="dcterms:W3CDTF">2015-09-07T09:57:00Z</dcterms:modified>
</cp:coreProperties>
</file>